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5ACE" w:rsidRDefault="00815ACE">
      <w:pPr>
        <w:pStyle w:val="normal"/>
        <w:spacing w:line="360" w:lineRule="auto"/>
        <w:jc w:val="center"/>
      </w:pPr>
    </w:p>
    <w:p w:rsidR="00815ACE" w:rsidRDefault="00815ACE">
      <w:pPr>
        <w:pStyle w:val="normal"/>
        <w:spacing w:line="360" w:lineRule="auto"/>
        <w:jc w:val="center"/>
      </w:pPr>
    </w:p>
    <w:p w:rsidR="00815ACE" w:rsidRDefault="004962AD">
      <w:pPr>
        <w:pStyle w:val="normal"/>
        <w:spacing w:line="360" w:lineRule="auto"/>
        <w:jc w:val="center"/>
      </w:pPr>
      <w:r>
        <w:rPr>
          <w:noProof/>
        </w:rPr>
        <w:drawing>
          <wp:inline distT="19050" distB="19050" distL="19050" distR="19050">
            <wp:extent cx="1952625" cy="14668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CE" w:rsidRPr="004962AD" w:rsidRDefault="004962AD">
      <w:pPr>
        <w:pStyle w:val="normal"/>
        <w:spacing w:line="360" w:lineRule="auto"/>
        <w:jc w:val="center"/>
        <w:rPr>
          <w:lang w:val="uk-UA"/>
        </w:rPr>
      </w:pPr>
      <w:r w:rsidRPr="004962AD">
        <w:rPr>
          <w:rFonts w:ascii="Comic Sans MS" w:eastAsia="Comic Sans MS" w:hAnsi="Comic Sans MS" w:cs="Comic Sans MS"/>
          <w:color w:val="38761D"/>
          <w:sz w:val="36"/>
          <w:highlight w:val="white"/>
          <w:u w:val="single"/>
          <w:lang w:val="uk-UA"/>
        </w:rPr>
        <w:t>Десять правил самоорганізації уваги</w:t>
      </w:r>
    </w:p>
    <w:p w:rsidR="00815ACE" w:rsidRPr="004962AD" w:rsidRDefault="00815ACE">
      <w:pPr>
        <w:pStyle w:val="normal"/>
        <w:spacing w:line="360" w:lineRule="auto"/>
        <w:rPr>
          <w:lang w:val="uk-UA"/>
        </w:rPr>
      </w:pP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Заздалегідь плануйте свій час так, щоб ніщо не відволікало вас ( дзвінки, відвідування та ін.).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Перш ніж розпочати роботу, організуйте своє робоче місце.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Максимально мобілізуйте свою волю, намагайтеся відключитися від того, що займало вас раніше.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Коли приступаєте до вивчення нової теми, спочатку освіжіть попередній матеріал чи ліквідуйте вади.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Якщо сторонні думки заважають зосередитися, займіться ко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нспектуванням. У силу своєї неперервності цей процес робить неможливим часті та тривалі відключення уваги. Майже аналогічний ефект має читання уголос.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Читайте та осмислюйте те, що прочитали.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 xml:space="preserve">Зміна видів діяльності запобігає виникненню монотонності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психічного стану, тобто сприяє збереженню стійкої уваги.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Контролюйте, стримуйте мимовільне переключення уваги на сторонні об’єкти (голоси, телефонні дзвінки, грюкання дверима та ін.)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lastRenderedPageBreak/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 xml:space="preserve">Якщо у процесі читання ви несвідомо відключились, примусьте себе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повернутися до місця відключення та перечитайте.</w:t>
      </w:r>
    </w:p>
    <w:p w:rsidR="00815ACE" w:rsidRPr="004962AD" w:rsidRDefault="004962AD">
      <w:pPr>
        <w:pStyle w:val="normal"/>
        <w:numPr>
          <w:ilvl w:val="0"/>
          <w:numId w:val="2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Не забувайте про освітлення, температуру, регулярні перерви.</w:t>
      </w:r>
    </w:p>
    <w:p w:rsidR="00815ACE" w:rsidRPr="004962AD" w:rsidRDefault="004962AD">
      <w:pPr>
        <w:pStyle w:val="normal"/>
        <w:spacing w:line="360" w:lineRule="auto"/>
        <w:jc w:val="center"/>
        <w:rPr>
          <w:lang w:val="uk-UA"/>
        </w:rPr>
      </w:pPr>
      <w:r w:rsidRPr="004962AD">
        <w:rPr>
          <w:rFonts w:ascii="Comic Sans MS" w:eastAsia="Comic Sans MS" w:hAnsi="Comic Sans MS" w:cs="Comic Sans MS"/>
          <w:color w:val="38761D"/>
          <w:sz w:val="36"/>
          <w:highlight w:val="white"/>
          <w:u w:val="single"/>
          <w:lang w:val="uk-UA"/>
        </w:rPr>
        <w:t>Корисні поради</w:t>
      </w:r>
    </w:p>
    <w:p w:rsidR="00815ACE" w:rsidRPr="004962AD" w:rsidRDefault="004962AD">
      <w:pPr>
        <w:pStyle w:val="normal"/>
        <w:spacing w:line="360" w:lineRule="auto"/>
        <w:rPr>
          <w:lang w:val="uk-UA"/>
        </w:rPr>
      </w:pPr>
      <w:r w:rsidRPr="004962AD">
        <w:rPr>
          <w:rFonts w:ascii="Comic Sans MS" w:eastAsia="Comic Sans MS" w:hAnsi="Comic Sans MS" w:cs="Comic Sans MS"/>
          <w:color w:val="6AA84F"/>
          <w:sz w:val="28"/>
          <w:highlight w:val="white"/>
          <w:u w:val="single"/>
          <w:lang w:val="uk-UA"/>
        </w:rPr>
        <w:t xml:space="preserve"> 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Усе, що хочеш пам’ятати - уявляй!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Май на увазі: усе, що ти побачив, відчув, почув, - уже запам’яталось.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Легко при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гадується тільки те, що уявив.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Не думай словами думай образами.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Не картай себе за невдачі, а роби з них висновки.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Фантазуй!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Хвали себе навіть за незначні успіхи.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Не заучуй уроків, а уявляй що-небудь цікаве, що допоможе пригадати потрібну інформацію ( наприклад, «мавпа Буф - губні приголосні»).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Не бійся забувати, якщо уявив.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Прокидайся із задоволенням, уявляючи майбутні успіхи.</w:t>
      </w:r>
    </w:p>
    <w:p w:rsidR="00815ACE" w:rsidRPr="004962AD" w:rsidRDefault="004962AD">
      <w:pPr>
        <w:pStyle w:val="normal"/>
        <w:numPr>
          <w:ilvl w:val="0"/>
          <w:numId w:val="1"/>
        </w:numPr>
        <w:spacing w:line="327" w:lineRule="auto"/>
        <w:ind w:hanging="359"/>
        <w:contextualSpacing/>
        <w:rPr>
          <w:highlight w:val="white"/>
          <w:lang w:val="uk-UA"/>
        </w:rPr>
      </w:pPr>
      <w:r w:rsidRPr="004962AD">
        <w:rPr>
          <w:sz w:val="20"/>
          <w:highlight w:val="white"/>
          <w:lang w:val="uk-UA"/>
        </w:rPr>
        <w:t>·</w:t>
      </w:r>
      <w:r w:rsidRPr="004962AD">
        <w:rPr>
          <w:rFonts w:ascii="Times New Roman" w:eastAsia="Times New Roman" w:hAnsi="Times New Roman" w:cs="Times New Roman"/>
          <w:sz w:val="14"/>
          <w:highlight w:val="white"/>
          <w:lang w:val="uk-UA"/>
        </w:rPr>
        <w:t xml:space="preserve">   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Не повторюй того, що вивча</w:t>
      </w:r>
      <w:r w:rsidRPr="004962AD">
        <w:rPr>
          <w:rFonts w:ascii="Comic Sans MS" w:eastAsia="Comic Sans MS" w:hAnsi="Comic Sans MS" w:cs="Comic Sans MS"/>
          <w:sz w:val="28"/>
          <w:highlight w:val="white"/>
          <w:lang w:val="uk-UA"/>
        </w:rPr>
        <w:t>єш, понад 4-5 разів поспіль, краще зроби це через 1-3 години. Успіху тобі!</w:t>
      </w:r>
    </w:p>
    <w:p w:rsidR="00815ACE" w:rsidRPr="004962AD" w:rsidRDefault="00815ACE">
      <w:pPr>
        <w:pStyle w:val="normal"/>
        <w:rPr>
          <w:lang w:val="uk-UA"/>
        </w:rPr>
      </w:pPr>
    </w:p>
    <w:p w:rsidR="00815ACE" w:rsidRPr="004962AD" w:rsidRDefault="00815ACE">
      <w:pPr>
        <w:pStyle w:val="normal"/>
        <w:rPr>
          <w:lang w:val="uk-UA"/>
        </w:rPr>
      </w:pPr>
    </w:p>
    <w:p w:rsidR="00815ACE" w:rsidRDefault="004962AD">
      <w:pPr>
        <w:pStyle w:val="normal"/>
        <w:jc w:val="center"/>
      </w:pPr>
      <w:r>
        <w:rPr>
          <w:noProof/>
        </w:rPr>
        <w:drawing>
          <wp:inline distT="19050" distB="19050" distL="19050" distR="19050">
            <wp:extent cx="1323975" cy="990600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ACE" w:rsidSect="004962AD">
      <w:pgSz w:w="12240" w:h="15840"/>
      <w:pgMar w:top="709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52A"/>
    <w:multiLevelType w:val="multilevel"/>
    <w:tmpl w:val="2116A15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251589C"/>
    <w:multiLevelType w:val="multilevel"/>
    <w:tmpl w:val="3730B70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15ACE"/>
    <w:rsid w:val="004962AD"/>
    <w:rsid w:val="0081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15AC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815AC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815AC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815AC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15AC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15AC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AC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815ACE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815AC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49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пам'ять.docx</dc:title>
  <cp:lastModifiedBy>User</cp:lastModifiedBy>
  <cp:revision>3</cp:revision>
  <dcterms:created xsi:type="dcterms:W3CDTF">2013-12-11T19:14:00Z</dcterms:created>
  <dcterms:modified xsi:type="dcterms:W3CDTF">2013-12-11T19:15:00Z</dcterms:modified>
</cp:coreProperties>
</file>